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Махмадиновича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д. 5/3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оборудованы с </w:t>
      </w:r>
      <w:r>
        <w:rPr>
          <w:rFonts w:ascii="Times New Roman" w:eastAsia="Times New Roman" w:hAnsi="Times New Roman" w:cs="Times New Roman"/>
          <w:sz w:val="28"/>
          <w:szCs w:val="28"/>
        </w:rPr>
        <w:t>приминением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препятствующих их идентификации,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4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Рахматбаев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совершенном правонарушении признал, пояснил, что был сильный мороз в тот день, автомобиль долго стоял припаркованным, перед началом движения он не </w:t>
      </w:r>
      <w:r>
        <w:rPr>
          <w:rFonts w:ascii="Times New Roman" w:eastAsia="Times New Roman" w:hAnsi="Times New Roman" w:cs="Times New Roman"/>
          <w:sz w:val="28"/>
          <w:szCs w:val="28"/>
        </w:rPr>
        <w:t>приверил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очистки от снега, </w:t>
      </w:r>
      <w:r>
        <w:rPr>
          <w:rFonts w:ascii="Times New Roman" w:eastAsia="Times New Roman" w:hAnsi="Times New Roman" w:cs="Times New Roman"/>
          <w:sz w:val="28"/>
          <w:szCs w:val="28"/>
        </w:rPr>
        <w:t>присил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лишать его прав, так как работает на доставке, автомобиль жизненно необходим, на его иждивении находится отец инвалид, семья и дети, в содеянном раскаялся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Style w:val="cat-Addressgrp-4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 в районе д. 5/3 по </w:t>
      </w:r>
      <w:r>
        <w:rPr>
          <w:rStyle w:val="cat-Addressgrp-5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UserDefinedgrp-32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знаки оборудованы с </w:t>
      </w:r>
      <w:r>
        <w:rPr>
          <w:rFonts w:ascii="Times New Roman" w:eastAsia="Times New Roman" w:hAnsi="Times New Roman" w:cs="Times New Roman"/>
          <w:sz w:val="28"/>
          <w:szCs w:val="28"/>
        </w:rPr>
        <w:t>приминением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препятствующих их идентификации,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4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8"/>
          <w:szCs w:val="28"/>
        </w:rPr>
        <w:t>траснпортного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сотрудника полиции, в котором изложены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соверешния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характер загрязнения номерного знака, а именно локальное загрязнение одной буквы, суд приходит к выводу о том, что данное загрязнение было произведено искусственным путем.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Рахматбаева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2 ст. 12.2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егистрационным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Рахматбаева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Махмадиновича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7rplc-3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1rplc-41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6"/>
          <w:szCs w:val="16"/>
        </w:rPr>
        <w:t>платежа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03100643000000018700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РКЦ Ханты-Мансийск; БИК </w:t>
      </w:r>
      <w:r>
        <w:rPr>
          <w:rStyle w:val="cat-PhoneNumbergrp-23rplc-45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Addressgrp-3rplc-46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PhoneNumbergrp-24rplc-47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25rplc-48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26rplc-49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sz w:val="16"/>
          <w:szCs w:val="16"/>
        </w:rPr>
        <w:t>. /</w:t>
      </w:r>
      <w:r>
        <w:rPr>
          <w:rFonts w:ascii="Times New Roman" w:eastAsia="Times New Roman" w:hAnsi="Times New Roman" w:cs="Times New Roman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sz w:val="16"/>
          <w:szCs w:val="16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УИН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188104862303200</w:t>
      </w:r>
      <w:r>
        <w:rPr>
          <w:rFonts w:ascii="Times New Roman" w:eastAsia="Times New Roman" w:hAnsi="Times New Roman" w:cs="Times New Roman"/>
          <w:sz w:val="16"/>
          <w:szCs w:val="16"/>
        </w:rPr>
        <w:t>26699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6"/>
          <w:szCs w:val="16"/>
        </w:rPr>
        <w:t>каб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105 дома 9 по </w:t>
      </w:r>
      <w:r>
        <w:rPr>
          <w:rStyle w:val="cat-Addressgrp-6rplc-50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3rplc-51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52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20rplc-15">
    <w:name w:val="cat-Ti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CarNumbergrp-21rplc-21">
    <w:name w:val="cat-CarNumber grp-21 rplc-21"/>
    <w:basedOn w:val="DefaultParagraphFont"/>
  </w:style>
  <w:style w:type="character" w:customStyle="1" w:styleId="cat-Addressgrp-4rplc-22">
    <w:name w:val="cat-Address grp-4 rplc-22"/>
    <w:basedOn w:val="DefaultParagraphFont"/>
  </w:style>
  <w:style w:type="character" w:customStyle="1" w:styleId="cat-Addressgrp-4rplc-24">
    <w:name w:val="cat-Address grp-4 rplc-24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CarNumbergrp-21rplc-34">
    <w:name w:val="cat-CarNumber grp-21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Sumgrp-17rplc-39">
    <w:name w:val="cat-Sum grp-17 rplc-39"/>
    <w:basedOn w:val="DefaultParagraphFont"/>
  </w:style>
  <w:style w:type="character" w:customStyle="1" w:styleId="cat-UserDefinedgrp-31rplc-41">
    <w:name w:val="cat-UserDefined grp-31 rplc-41"/>
    <w:basedOn w:val="DefaultParagraphFont"/>
  </w:style>
  <w:style w:type="character" w:customStyle="1" w:styleId="cat-Dategrp-9rplc-43">
    <w:name w:val="cat-Date grp-9 rplc-43"/>
    <w:basedOn w:val="DefaultParagraphFont"/>
  </w:style>
  <w:style w:type="character" w:customStyle="1" w:styleId="cat-PhoneNumbergrp-23rplc-45">
    <w:name w:val="cat-PhoneNumber grp-23 rplc-45"/>
    <w:basedOn w:val="DefaultParagraphFont"/>
  </w:style>
  <w:style w:type="character" w:customStyle="1" w:styleId="cat-Addressgrp-3rplc-46">
    <w:name w:val="cat-Address grp-3 rplc-46"/>
    <w:basedOn w:val="DefaultParagraphFont"/>
  </w:style>
  <w:style w:type="character" w:customStyle="1" w:styleId="cat-PhoneNumbergrp-24rplc-47">
    <w:name w:val="cat-PhoneNumber grp-24 rplc-47"/>
    <w:basedOn w:val="DefaultParagraphFont"/>
  </w:style>
  <w:style w:type="character" w:customStyle="1" w:styleId="cat-PhoneNumbergrp-25rplc-48">
    <w:name w:val="cat-PhoneNumber grp-25 rplc-48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Addressgrp-6rplc-50">
    <w:name w:val="cat-Address grp-6 rplc-50"/>
    <w:basedOn w:val="DefaultParagraphFont"/>
  </w:style>
  <w:style w:type="character" w:customStyle="1" w:styleId="cat-Addressgrp-3rplc-51">
    <w:name w:val="cat-Address grp-3 rplc-51"/>
    <w:basedOn w:val="DefaultParagraphFont"/>
  </w:style>
  <w:style w:type="character" w:customStyle="1" w:styleId="cat-SumInWordsgrp-18rplc-52">
    <w:name w:val="cat-SumInWords grp-1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